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700" w:type="dxa"/>
              <w:start w:w="450" w:type="dxa"/>
              <w:bottom w:w="650" w:type="dxa"/>
              <w:end w:w="45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8"/>
              </w:rPr>
              <w:t>ARCHORIC  |  DECISION RESOURCES</w:t>
            </w:r>
          </w:p>
          <w:p>
            <w:pPr>
              <w:spacing w:after="240"/>
            </w:pPr>
            <w:r>
              <w:rPr>
                <w:rFonts w:ascii="Arial" w:hAnsi="Arial"/>
                <w:b/>
                <w:i w:val="0"/>
                <w:color w:val="FFFFFF"/>
                <w:sz w:val="64"/>
              </w:rPr>
              <w:t>Internal Champion</w:t>
              <w:br/>
              <w:t>Decision Pack</w:t>
            </w:r>
          </w:p>
          <w:p>
            <w:pPr>
              <w:spacing w:after="440"/>
            </w:pPr>
            <w:r>
              <w:rPr>
                <w:rFonts w:ascii="Arial" w:hAnsi="Arial"/>
                <w:b w:val="0"/>
                <w:i w:val="0"/>
                <w:color w:val="DFE8E2"/>
                <w:sz w:val="24"/>
              </w:rPr>
              <w:t>A structured template for assembling the evidence, decisions, dependencies and meetings required to advance a complex healthcare AI evaluation internally.</w:t>
            </w:r>
          </w:p>
          <w:p>
            <w:r>
              <w:rPr>
                <w:rFonts w:ascii="Arial" w:hAnsi="Arial"/>
                <w:b/>
                <w:i w:val="0"/>
                <w:color w:val="C7D6CC"/>
                <w:sz w:val="20"/>
              </w:rPr>
              <w:t>CONFIDENT DECISIONS START BEFORE THE DEMO.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PURPOSE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Use this template when an internal champion needs to circulate a coherent decision case without rebuilding scattered product, evidence, implementation, governance, security and commercial information.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F7EED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8A5A1E"/>
                <w:sz w:val="18"/>
              </w:rPr>
              <w:t>IMPORTANT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Replace all grey guidance with company- and buyer-specific information. Do not circulate the template until unsupported claims, assumptions and unresolved questions are clearly labelled.</w:t>
            </w:r>
          </w:p>
        </w:tc>
      </w:tr>
    </w:tbl>
    <w:p>
      <w:pPr>
        <w:sectPr>
          <w:headerReference w:type="default" r:id="rId9"/>
          <w:footerReference w:type="default" r:id="rId10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BEFORE YOU BEGIN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How to use this decision pack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The pack is designed to help an internal champion carry a complex decision forward without having to reconstruct the full case in every meeting.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4824"/>
            <w:shd w:fill="FFFF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20"/>
              </w:rPr>
              <w:t>1. Define the decision</w:t>
            </w:r>
          </w:p>
          <w:p>
            <w:r>
              <w:rPr>
                <w:rFonts w:ascii="Arial" w:hAnsi="Arial"/>
                <w:b w:val="0"/>
                <w:i w:val="0"/>
                <w:color w:val="15202B"/>
                <w:sz w:val="18"/>
              </w:rPr>
              <w:t>State the decision being considered, the stage, the owner and the deadline.</w:t>
            </w:r>
          </w:p>
        </w:tc>
        <w:tc>
          <w:tcPr>
            <w:tcW w:type="dxa" w:w="4824"/>
            <w:shd w:fill="FFFF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20"/>
              </w:rPr>
              <w:t>2. Assemble the evidence</w:t>
            </w:r>
          </w:p>
          <w:p>
            <w:r>
              <w:rPr>
                <w:rFonts w:ascii="Arial" w:hAnsi="Arial"/>
                <w:b w:val="0"/>
                <w:i w:val="0"/>
                <w:color w:val="15202B"/>
                <w:sz w:val="18"/>
              </w:rPr>
              <w:t>Use current public, qualified, confidential and use-case-specific evidence. Do not collapse those routes into one.</w:t>
            </w:r>
          </w:p>
        </w:tc>
      </w:tr>
      <w:tr>
        <w:tc>
          <w:tcPr>
            <w:tcW w:type="dxa" w:w="4824"/>
            <w:shd w:fill="FFFF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20"/>
              </w:rPr>
              <w:t>3. Separate what is known from what remains unresolved</w:t>
            </w:r>
          </w:p>
          <w:p>
            <w:r>
              <w:rPr>
                <w:rFonts w:ascii="Arial" w:hAnsi="Arial"/>
                <w:b w:val="0"/>
                <w:i w:val="0"/>
                <w:color w:val="15202B"/>
                <w:sz w:val="18"/>
              </w:rPr>
              <w:t>Record what the evidence establishes, what it does not establish and what still depends on the buyer.</w:t>
            </w:r>
          </w:p>
        </w:tc>
        <w:tc>
          <w:tcPr>
            <w:tcW w:type="dxa" w:w="4824"/>
            <w:shd w:fill="FFFFFF"/>
            <w:tcMar>
              <w:top w:w="180" w:type="dxa"/>
              <w:start w:w="180" w:type="dxa"/>
              <w:bottom w:w="180" w:type="dxa"/>
              <w:end w:w="18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20"/>
              </w:rPr>
              <w:t>4. Design the decision path</w:t>
            </w:r>
          </w:p>
          <w:p>
            <w:r>
              <w:rPr>
                <w:rFonts w:ascii="Arial" w:hAnsi="Arial"/>
                <w:b w:val="0"/>
                <w:i w:val="0"/>
                <w:color w:val="15202B"/>
                <w:sz w:val="18"/>
              </w:rPr>
              <w:t>Name the meetings, participants, required inputs, outputs and next decision gates.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5EEF3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4D7187"/>
                <w:sz w:val="18"/>
              </w:rPr>
              <w:t>WORKING RULE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This pack is not a product brochure. It is a decision document. Every section should help a named stakeholder understand, evaluate or advance a specific part of the decision.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3240"/>
            <w:shd w:fill="FFFFFF"/>
            <w:tcMar>
              <w:top w:w="170" w:type="dxa"/>
              <w:start w:w="150" w:type="dxa"/>
              <w:bottom w:w="170" w:type="dxa"/>
              <w:end w:w="15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Evidence traceable</w:t>
            </w:r>
          </w:p>
          <w:p>
            <w:r>
              <w:rPr>
                <w:rFonts w:ascii="Arial" w:hAnsi="Arial"/>
                <w:b w:val="0"/>
                <w:i w:val="0"/>
                <w:color w:val="5A6470"/>
                <w:sz w:val="17"/>
              </w:rPr>
              <w:t>Every material conclusion points to a source or owner.</w:t>
            </w:r>
          </w:p>
        </w:tc>
        <w:tc>
          <w:tcPr>
            <w:tcW w:type="dxa" w:w="3240"/>
            <w:shd w:fill="FFFFFF"/>
            <w:tcMar>
              <w:top w:w="170" w:type="dxa"/>
              <w:start w:w="150" w:type="dxa"/>
              <w:bottom w:w="170" w:type="dxa"/>
              <w:end w:w="15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Limitations visible</w:t>
            </w:r>
          </w:p>
          <w:p>
            <w:r>
              <w:rPr>
                <w:rFonts w:ascii="Arial" w:hAnsi="Arial"/>
                <w:b w:val="0"/>
                <w:i w:val="0"/>
                <w:color w:val="5A6470"/>
                <w:sz w:val="17"/>
              </w:rPr>
              <w:t>Unknowns, assumptions and buyer-specific work are explicit.</w:t>
            </w:r>
          </w:p>
        </w:tc>
        <w:tc>
          <w:tcPr>
            <w:tcW w:type="dxa" w:w="3240"/>
            <w:shd w:fill="FFFFFF"/>
            <w:tcMar>
              <w:top w:w="170" w:type="dxa"/>
              <w:start w:w="150" w:type="dxa"/>
              <w:bottom w:w="170" w:type="dxa"/>
              <w:end w:w="150" w:type="dxa"/>
            </w:tcMar>
            <w:tcBorders>
              <w:top w:val="single" w:sz="5" w:color="D9DED8"/>
              <w:left w:val="single" w:sz="5" w:color="D9DED8"/>
              <w:bottom w:val="single" w:sz="5" w:color="D9DED8"/>
              <w:right w:val="single" w:sz="5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Decision path explicit</w:t>
            </w:r>
          </w:p>
          <w:p>
            <w:r>
              <w:rPr>
                <w:rFonts w:ascii="Arial" w:hAnsi="Arial"/>
                <w:b w:val="0"/>
                <w:i w:val="0"/>
                <w:color w:val="5A6470"/>
                <w:sz w:val="17"/>
              </w:rPr>
              <w:t>Meetings, outputs, owners and the next gate are named.</w:t>
            </w:r>
          </w:p>
        </w:tc>
      </w:tr>
    </w:tbl>
    <w:p>
      <w:pPr>
        <w:sectPr>
          <w:headerReference w:type="default" r:id="rId11"/>
          <w:footerReference w:type="default" r:id="rId12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DOCUMENT ARCHITECTURE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Document map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Use the map to understand the role of each section before you start writing.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01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Decision at a glance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is being decided now?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02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Problem and strategic relevance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Why does the opportunity matter?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03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Proposed use case and boundaries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is and is not being proposed?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04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Evidence summary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does the current evidence establish?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05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Stakeholder decision view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must each stakeholder decide?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06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Implementation pathway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How would the transition work?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07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Governance and accountability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Who owns decisions, monitoring and escalation?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08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Security and privacy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How is sensitive information protected?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09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Value and resource case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value, cost and effort are expected?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10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Open questions and dependencies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still needs to be resolved?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11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Cross-functional decision meetings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Which conversations must reach which outputs?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12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Recommendation and next decision gate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What should happen next, under what conditions?</w:t>
            </w:r>
          </w:p>
        </w:tc>
      </w:tr>
      <w:tr>
        <w:tc>
          <w:tcPr>
            <w:tcW w:type="dxa" w:w="792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13</w:t>
            </w:r>
          </w:p>
        </w:tc>
        <w:tc>
          <w:tcPr>
            <w:tcW w:type="dxa" w:w="3384"/>
            <w:shd w:fill="EAF1EC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6"/>
              </w:rPr>
              <w:t>Source register</w:t>
            </w:r>
          </w:p>
        </w:tc>
        <w:tc>
          <w:tcPr>
            <w:tcW w:type="dxa" w:w="5904"/>
            <w:shd w:fill="FFFFFF"/>
            <w:tcMar>
              <w:top w:w="75" w:type="dxa"/>
              <w:start w:w="100" w:type="dxa"/>
              <w:bottom w:w="75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Which sources support the case?</w:t>
            </w:r>
          </w:p>
        </w:tc>
      </w:tr>
    </w:tbl>
    <w:p>
      <w:pPr>
        <w:sectPr>
          <w:headerReference w:type="default" r:id="rId13"/>
          <w:footerReference w:type="default" r:id="rId14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01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Decision at a glance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Define the exact decision, the current stage and the people responsible for carrying it forward.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Use one sentence per field. Avoid broad language such as “approve the solution” when the immediate decision is only to enter the next evaluation stage.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Decision being considered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the specific decision that needs to be made now.]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Recommended next stage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[Example: proceed to technical validation, initiate a bounded pilot, pause pending evidence.]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Decision deadline or review date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[Enter the date and explain what creates the timing requirement.]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Current support state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[Summarise confirmed support, conditional support, objections and unknown positions.]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Primary sponsor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person accountable for executive sponsorship.]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Internal champion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person coordinating the case and evidence path.]</w:t>
            </w:r>
          </w:p>
        </w:tc>
      </w:tr>
    </w:tbl>
    <w:p>
      <w:pPr>
        <w:sectPr>
          <w:headerReference w:type="default" r:id="rId15"/>
          <w:footerReference w:type="default" r:id="rId16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02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Problem and strategic relevance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Explain the constrained capacity, risk or opportunity that makes the evaluation worth pursuing.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Connect the problem to a current organisational priority. Do not use the vendor’s value proposition as a substitute for the buyer’s actual problem.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Current problem or constrained capacity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the current state using observable operational, clinical or commercial facts.]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Who is affected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users, teams, patients, leaders or functions affected.]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Why this matters now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[Explain the timing, strategic priority, risk exposure or opportunity.]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Consequences of doing nothing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the likely operational, clinical, financial or strategic consequence.]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Alternative approaches considered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[Summarise alternatives, including maintaining the current state.]</w:t>
            </w:r>
          </w:p>
        </w:tc>
      </w:tr>
    </w:tbl>
    <w:p>
      <w:pPr>
        <w:sectPr>
          <w:headerReference w:type="default" r:id="rId17"/>
          <w:footerReference w:type="default" r:id="rId18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03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Proposed use case and boundaries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Define the use case precisely enough for clinical, technical, governance and operational teams to evaluate the same proposal.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Use boundaries that can be tested. Avoid allowing the product category, marketing claim or broad platform description to stand in for the proposed use case.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Intended use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the proposed use, decision or workflow contribution.]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Users, population and setting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users, patient population, operating environment and care setting.]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Role of the AI in the workflow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whether the system informs, prioritises, drafts, recommends, automates or monitors.]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Out-of-scope uses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uses that are not included or should not be inferred.]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Assumptions requiring validation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[Identify workflow, data, user, performance or policy assumptions still to be tested.]</w:t>
            </w:r>
          </w:p>
        </w:tc>
      </w:tr>
    </w:tbl>
    <w:p>
      <w:pPr>
        <w:sectPr>
          <w:headerReference w:type="default" r:id="rId19"/>
          <w:footerReference w:type="default" r:id="rId20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04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Evidence summary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Summarise the strongest current evidence while keeping limitations, freshness and product version visible.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Distinguish evidence strength from evidence usability. A source may be credible but still difficult for a stakeholder to locate, interpret or apply to the proposed decision.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Strongest evidence currently available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most decision-relevant clinical, technical, workflow, security, governance or commercial evidence.]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What the evidence establishes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the supported conclusion in narrow, defensible terms.]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What it does not establish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limitations, missing contexts, untested assumptions or unsupported extrapolations.]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Freshness and product version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[Record publication date, evidence date and relevant product or model version.]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Source links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the source register IDs or direct links supporting this summary.]</w:t>
            </w:r>
          </w:p>
        </w:tc>
      </w:tr>
    </w:tbl>
    <w:p>
      <w:pPr>
        <w:sectPr>
          <w:headerReference w:type="default" r:id="rId21"/>
          <w:footerReference w:type="default" r:id="rId22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32"/>
      </w:tblGrid>
      <w:tr>
        <w:tc>
          <w:tcPr>
            <w:tcW w:type="dxa" w:w="15048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05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4"/>
              </w:rPr>
              <w:t>Stakeholder decision view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Map the decision from the perspective of every stakeholder who can enable, condition, delay or stop the next stage.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16"/>
        <w:gridCol w:w="5016"/>
        <w:gridCol w:w="5016"/>
      </w:tblGrid>
      <w:tr>
        <w:tc>
          <w:tcPr>
            <w:tcW w:type="dxa" w:w="2592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888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7920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048"/>
      </w:tblGrid>
      <w:tr>
        <w:tc>
          <w:tcPr>
            <w:tcW w:type="dxa" w:w="15048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Complete one row for each relevant stakeholder. The goal is not to create a generic persona list. It is to make the real approval and evidence path visible.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8"/>
        <w:gridCol w:w="2508"/>
        <w:gridCol w:w="2508"/>
        <w:gridCol w:w="2508"/>
        <w:gridCol w:w="2508"/>
        <w:gridCol w:w="2508"/>
      </w:tblGrid>
      <w:tr>
        <w:trPr>
          <w:tblHeader w:val="true"/>
        </w:trPr>
        <w:tc>
          <w:tcPr>
            <w:tcW w:type="dxa" w:w="1944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Stakeholder</w:t>
            </w:r>
          </w:p>
        </w:tc>
        <w:tc>
          <w:tcPr>
            <w:tcW w:type="dxa" w:w="2520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Decision they must make</w:t>
            </w:r>
          </w:p>
        </w:tc>
        <w:tc>
          <w:tcPr>
            <w:tcW w:type="dxa" w:w="2664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Evidence they need</w:t>
            </w:r>
          </w:p>
        </w:tc>
        <w:tc>
          <w:tcPr>
            <w:tcW w:type="dxa" w:w="2808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What is currently supported</w:t>
            </w:r>
          </w:p>
        </w:tc>
        <w:tc>
          <w:tcPr>
            <w:tcW w:type="dxa" w:w="2664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What remains unresolved</w:t>
            </w:r>
          </w:p>
        </w:tc>
        <w:tc>
          <w:tcPr>
            <w:tcW w:type="dxa" w:w="223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Next route</w:t>
            </w:r>
          </w:p>
        </w:tc>
      </w:tr>
      <w:tr>
        <w:trPr>
          <w:trHeight w:val="893"/>
        </w:trPr>
        <w:tc>
          <w:tcPr>
            <w:tcW w:type="dxa" w:w="1944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[Name role]</w:t>
            </w:r>
          </w:p>
        </w:tc>
        <w:tc>
          <w:tcPr>
            <w:tcW w:type="dxa" w:w="2520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[State the decision]</w:t>
            </w:r>
          </w:p>
        </w:tc>
        <w:tc>
          <w:tcPr>
            <w:tcW w:type="dxa" w:w="2664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[List evidence]</w:t>
            </w:r>
          </w:p>
        </w:tc>
        <w:tc>
          <w:tcPr>
            <w:tcW w:type="dxa" w:w="2808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[Summarise support]</w:t>
            </w:r>
          </w:p>
        </w:tc>
        <w:tc>
          <w:tcPr>
            <w:tcW w:type="dxa" w:w="2664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[Name unresolved work]</w:t>
            </w:r>
          </w:p>
        </w:tc>
        <w:tc>
          <w:tcPr>
            <w:tcW w:type="dxa" w:w="223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[Public / qualified / NDA / use-case]</w:t>
            </w:r>
          </w:p>
        </w:tc>
      </w:tr>
      <w:tr>
        <w:trPr>
          <w:trHeight w:val="893"/>
        </w:trPr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</w:tbl>
    <w:p>
      <w:pPr>
        <w:sectPr>
          <w:headerReference w:type="default" r:id="rId23"/>
          <w:footerReference w:type="default" r:id="rId24"/>
          <w:pgSz w:w="16834" w:h="11909" w:orient="landscape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06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Implementation pathway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Show how the proposed solution would move from evaluation into a safe, bounded and supportable operating state.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Make the transition visible. The destination is not enough; the transition has to feel survivable.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Implementation phases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[Outline discovery, technical preparation, configuration, validation, training, pilot and scale stages.]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Buyer responsibilities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people, data, systems, decisions, reviews and resources the buyer must provide.]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Vendor responsibilities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implementation, support, evidence, training and escalation responsibilities.]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Dependencies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technical, operational, clinical, governance, contractual or timing dependencies.]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Training and workflow change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new work, changed work, removed work and adoption support.]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Fallback and exception handling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[Explain downtime, overrides, uncertain outputs, escalation and continuity procedures.]</w:t>
            </w:r>
          </w:p>
        </w:tc>
      </w:tr>
    </w:tbl>
    <w:p>
      <w:pPr>
        <w:sectPr>
          <w:headerReference w:type="default" r:id="rId25"/>
          <w:footerReference w:type="default" r:id="rId26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07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Governance and accountability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Clarify who owns approval, use, monitoring, change and escalation decisions throughout the lifecycle.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Avoid using “shared responsibility” without naming the actual roles, decisions and escalation conditions.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Approval owner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body or role that can approve the proposed stage or use.]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Clinical decision rights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who retains clinical authority and how AI output may be used.]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Monitoring owner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owner of performance, safety, operational and adoption monitoring.]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Model-change process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how updates, retraining, release changes and impact review are governed.]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Incident escalation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[Define reporting, triage, investigation and notification routes.]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Stop authority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who can suspend or stop use and under what conditions.]</w:t>
            </w:r>
          </w:p>
        </w:tc>
      </w:tr>
    </w:tbl>
    <w:p>
      <w:pPr>
        <w:sectPr>
          <w:headerReference w:type="default" r:id="rId27"/>
          <w:footerReference w:type="default" r:id="rId28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08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Security and privacy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Assemble the information required to understand data movement, controls, responsibilities and resilience.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Keep public assurance, qualified review materials and confidential security evidence in their appropriate evidence routes.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Data flow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what data enters, leaves, remains, is transformed and where it is processed.]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Core controls and assurance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relevant security controls, certifications, audits and testing materials.]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Data use for training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whether customer data is used for training, improvement or evaluation and under what controls.]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Access, retention and subprocessors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[Describe access control, retention, deletion, hosting and third-party processing.]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Downtime, breach and recovery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[Summarise incident response, recovery, notification and continuity expectations.]</w:t>
            </w:r>
          </w:p>
        </w:tc>
      </w:tr>
    </w:tbl>
    <w:p>
      <w:pPr>
        <w:sectPr>
          <w:headerReference w:type="default" r:id="rId29"/>
          <w:footerReference w:type="default" r:id="rId30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09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Value and resource case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Describe expected outcomes, full adoption cost, internal effort and the conditions for continued investment.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Do not present ROI as a guaranteed result. Make the assumptions, dependencies and measurement responsibilities explicit.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Baseline condition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[Record the current volume, time, cost, quality, risk or capacity baseline.]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Expected outcomes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the outcomes being pursued and how they would be observed.]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Evidence and assumptions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[Separate measured evidence, modelled assumptions and buyer-specific estimates.]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Total cost beyond licence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[Include integration, training, change, governance, monitoring and support costs.]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Resources required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people, time, systems, data and leadership attention required.]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Scale, pause and stop criteria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[Define the evidence or conditions that would justify each decision.]</w:t>
            </w:r>
          </w:p>
        </w:tc>
      </w:tr>
    </w:tbl>
    <w:p>
      <w:pPr>
        <w:sectPr>
          <w:headerReference w:type="default" r:id="rId31"/>
          <w:footerReference w:type="default" r:id="rId32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32"/>
      </w:tblGrid>
      <w:tr>
        <w:tc>
          <w:tcPr>
            <w:tcW w:type="dxa" w:w="15048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10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4"/>
              </w:rPr>
              <w:t>Open questions and dependencies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Create a visible register of unresolved questions so they do not disappear into meeting notes or informal follow-up.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16"/>
        <w:gridCol w:w="5016"/>
        <w:gridCol w:w="5016"/>
      </w:tblGrid>
      <w:tr>
        <w:tc>
          <w:tcPr>
            <w:tcW w:type="dxa" w:w="2592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888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7920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048"/>
      </w:tblGrid>
      <w:tr>
        <w:tc>
          <w:tcPr>
            <w:tcW w:type="dxa" w:w="15048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Add every unresolved question that could materially change, delay, condition or stop the decision. Assign an answer owner and required stage.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8"/>
        <w:gridCol w:w="2508"/>
        <w:gridCol w:w="2508"/>
        <w:gridCol w:w="2508"/>
        <w:gridCol w:w="2508"/>
        <w:gridCol w:w="2508"/>
      </w:tblGrid>
      <w:tr>
        <w:trPr>
          <w:tblHeader w:val="true"/>
        </w:trPr>
        <w:tc>
          <w:tcPr>
            <w:tcW w:type="dxa" w:w="295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Question</w:t>
            </w:r>
          </w:p>
        </w:tc>
        <w:tc>
          <w:tcPr>
            <w:tcW w:type="dxa" w:w="2664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Why it matters</w:t>
            </w:r>
          </w:p>
        </w:tc>
        <w:tc>
          <w:tcPr>
            <w:tcW w:type="dxa" w:w="223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Who must answer</w:t>
            </w:r>
          </w:p>
        </w:tc>
        <w:tc>
          <w:tcPr>
            <w:tcW w:type="dxa" w:w="295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Evidence required</w:t>
            </w:r>
          </w:p>
        </w:tc>
        <w:tc>
          <w:tcPr>
            <w:tcW w:type="dxa" w:w="2376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Decision affected</w:t>
            </w:r>
          </w:p>
        </w:tc>
        <w:tc>
          <w:tcPr>
            <w:tcW w:type="dxa" w:w="1944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Required by stage</w:t>
            </w:r>
          </w:p>
        </w:tc>
      </w:tr>
      <w:tr>
        <w:trPr>
          <w:trHeight w:val="893"/>
        </w:trPr>
        <w:tc>
          <w:tcPr>
            <w:tcW w:type="dxa" w:w="295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[Open question]</w:t>
            </w:r>
          </w:p>
        </w:tc>
        <w:tc>
          <w:tcPr>
            <w:tcW w:type="dxa" w:w="2664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[Decision relevance]</w:t>
            </w:r>
          </w:p>
        </w:tc>
        <w:tc>
          <w:tcPr>
            <w:tcW w:type="dxa" w:w="223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[Role / team]</w:t>
            </w:r>
          </w:p>
        </w:tc>
        <w:tc>
          <w:tcPr>
            <w:tcW w:type="dxa" w:w="295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[Evidence or validation]</w:t>
            </w:r>
          </w:p>
        </w:tc>
        <w:tc>
          <w:tcPr>
            <w:tcW w:type="dxa" w:w="2376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[Named decision]</w:t>
            </w:r>
          </w:p>
        </w:tc>
        <w:tc>
          <w:tcPr>
            <w:tcW w:type="dxa" w:w="1944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[Stage / date]</w:t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37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37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66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37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1944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</w:tbl>
    <w:p>
      <w:pPr>
        <w:sectPr>
          <w:headerReference w:type="default" r:id="rId33"/>
          <w:footerReference w:type="default" r:id="rId34"/>
          <w:pgSz w:w="16834" w:h="11909" w:orient="landscape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32"/>
      </w:tblGrid>
      <w:tr>
        <w:tc>
          <w:tcPr>
            <w:tcW w:type="dxa" w:w="15048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11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4"/>
              </w:rPr>
              <w:t>Cross-functional decision meetings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Design the conversations required to turn evidence into an explicit decision and next step.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16"/>
        <w:gridCol w:w="5016"/>
        <w:gridCol w:w="5016"/>
      </w:tblGrid>
      <w:tr>
        <w:tc>
          <w:tcPr>
            <w:tcW w:type="dxa" w:w="2592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888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7920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048"/>
      </w:tblGrid>
      <w:tr>
        <w:tc>
          <w:tcPr>
            <w:tcW w:type="dxa" w:w="15048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A meeting is useful only when participants, evidence inputs, questions, required output and the next decision are explicit.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8"/>
        <w:gridCol w:w="2508"/>
        <w:gridCol w:w="2508"/>
        <w:gridCol w:w="2508"/>
        <w:gridCol w:w="2508"/>
        <w:gridCol w:w="2508"/>
      </w:tblGrid>
      <w:tr>
        <w:trPr>
          <w:tblHeader w:val="true"/>
        </w:trPr>
        <w:tc>
          <w:tcPr>
            <w:tcW w:type="dxa" w:w="295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Decision the meeting must reach</w:t>
            </w:r>
          </w:p>
        </w:tc>
        <w:tc>
          <w:tcPr>
            <w:tcW w:type="dxa" w:w="223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Participants</w:t>
            </w:r>
          </w:p>
        </w:tc>
        <w:tc>
          <w:tcPr>
            <w:tcW w:type="dxa" w:w="2808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Evidence inputs</w:t>
            </w:r>
          </w:p>
        </w:tc>
        <w:tc>
          <w:tcPr>
            <w:tcW w:type="dxa" w:w="295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Questions to resolve</w:t>
            </w:r>
          </w:p>
        </w:tc>
        <w:tc>
          <w:tcPr>
            <w:tcW w:type="dxa" w:w="2520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Required output</w:t>
            </w:r>
          </w:p>
        </w:tc>
        <w:tc>
          <w:tcPr>
            <w:tcW w:type="dxa" w:w="2088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4"/>
              </w:rPr>
              <w:t>Next decision gate</w:t>
            </w:r>
          </w:p>
        </w:tc>
      </w:tr>
      <w:tr>
        <w:trPr>
          <w:trHeight w:val="893"/>
        </w:trPr>
        <w:tc>
          <w:tcPr>
            <w:tcW w:type="dxa" w:w="295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[Decision]</w:t>
            </w:r>
          </w:p>
        </w:tc>
        <w:tc>
          <w:tcPr>
            <w:tcW w:type="dxa" w:w="223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[Named roles]</w:t>
            </w:r>
          </w:p>
        </w:tc>
        <w:tc>
          <w:tcPr>
            <w:tcW w:type="dxa" w:w="2808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[Source IDs / materials]</w:t>
            </w:r>
          </w:p>
        </w:tc>
        <w:tc>
          <w:tcPr>
            <w:tcW w:type="dxa" w:w="295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[Questions]</w:t>
            </w:r>
          </w:p>
        </w:tc>
        <w:tc>
          <w:tcPr>
            <w:tcW w:type="dxa" w:w="2520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[Document / approval / action]</w:t>
            </w:r>
          </w:p>
        </w:tc>
        <w:tc>
          <w:tcPr>
            <w:tcW w:type="dxa" w:w="2088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4"/>
              </w:rPr>
              <w:t>[Next gate]</w:t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08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08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08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  <w:tr>
        <w:trPr>
          <w:trHeight w:val="893"/>
        </w:trPr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23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95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520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  <w:tc>
          <w:tcPr>
            <w:tcW w:type="dxa" w:w="208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4"/>
              </w:rPr>
            </w:r>
          </w:p>
        </w:tc>
      </w:tr>
    </w:tbl>
    <w:p>
      <w:pPr>
        <w:sectPr>
          <w:headerReference w:type="default" r:id="rId35"/>
          <w:footerReference w:type="default" r:id="rId36"/>
          <w:pgSz w:w="16834" w:h="11909" w:orient="landscape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12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Recommendation and next decision gate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State the recommended action, its conditions and the evidence required before the evaluation advances again.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374"/>
        <w:gridCol w:w="3374"/>
        <w:gridCol w:w="3374"/>
      </w:tblGrid>
      <w:tr>
        <w:tc>
          <w:tcPr>
            <w:tcW w:type="dxa" w:w="2088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024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4968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23"/>
      </w:tblGrid>
      <w:tr>
        <w:tc>
          <w:tcPr>
            <w:tcW w:type="dxa" w:w="10123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Use a staged recommendation when the evidence supports continued evaluation but not full commitment. Avoid forcing a yes or no decision when the right next step is narrower.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Recommendation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[State the recommended next action in direct language.]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Conditions attached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[List conditions, constraints, approvals or limitations attached to the recommendation.]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Evidence required before advancing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evidence, validation or decision output required for the next gate.]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Owner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[Name the person accountable for coordinating the next action.]</w:t>
            </w:r>
          </w:p>
        </w:tc>
      </w:tr>
      <w:tr>
        <w:trPr>
          <w:trHeight w:val="1123"/>
        </w:trPr>
        <w:tc>
          <w:tcPr>
            <w:tcW w:type="dxa" w:w="3240"/>
            <w:shd w:fill="EAF1EC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8"/>
              </w:rPr>
              <w:t>Due date</w:t>
            </w:r>
          </w:p>
        </w:tc>
        <w:tc>
          <w:tcPr>
            <w:tcW w:type="dxa" w:w="6768"/>
            <w:shd w:fill="F3F8F4"/>
            <w:tcMar>
              <w:top w:w="130" w:type="dxa"/>
              <w:start w:w="150" w:type="dxa"/>
              <w:bottom w:w="130" w:type="dxa"/>
              <w:end w:w="15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8"/>
              </w:rPr>
              <w:t>[Enter the agreed date.]</w:t>
            </w:r>
          </w:p>
        </w:tc>
      </w:tr>
    </w:tbl>
    <w:p>
      <w:pPr>
        <w:sectPr>
          <w:headerReference w:type="default" r:id="rId37"/>
          <w:footerReference w:type="default" r:id="rId38"/>
          <w:pgSz w:w="11909" w:h="16834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32"/>
      </w:tblGrid>
      <w:tr>
        <w:tc>
          <w:tcPr>
            <w:tcW w:type="dxa" w:w="15048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SECTION 13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4"/>
              </w:rPr>
              <w:t>Source register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Keep the evidence supporting the decision case traceable, current and connected to the conclusions it is being used to support.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16"/>
        <w:gridCol w:w="5016"/>
        <w:gridCol w:w="5016"/>
      </w:tblGrid>
      <w:tr>
        <w:tc>
          <w:tcPr>
            <w:tcW w:type="dxa" w:w="2592"/>
            <w:shd w:fill="385A48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SECTION STATUS</w:t>
            </w:r>
          </w:p>
        </w:tc>
        <w:tc>
          <w:tcPr>
            <w:tcW w:type="dxa" w:w="3888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5202B"/>
                <w:sz w:val="16"/>
              </w:rPr>
              <w:t>Not started  |  In progress  |  Ready for review</w:t>
            </w:r>
          </w:p>
        </w:tc>
        <w:tc>
          <w:tcPr>
            <w:tcW w:type="dxa" w:w="7920"/>
            <w:shd w:fill="FAFAF6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5A6470"/>
                <w:sz w:val="16"/>
              </w:rPr>
              <w:t>Complete when the section can circulate without verbal reconstruction.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048"/>
      </w:tblGrid>
      <w:tr>
        <w:tc>
          <w:tcPr>
            <w:tcW w:type="dxa" w:w="15048"/>
            <w:shd w:fill="EAF1EC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385A48"/>
                <w:sz w:val="18"/>
              </w:rPr>
              <w:t>COMPLETE THIS SECTION BY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Assign a source ID and use that ID throughout the pack. Record freshness and product version whenever a source could become outdated or mismatched.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81"/>
        <w:gridCol w:w="1881"/>
        <w:gridCol w:w="1881"/>
        <w:gridCol w:w="1881"/>
        <w:gridCol w:w="1881"/>
        <w:gridCol w:w="1881"/>
        <w:gridCol w:w="1881"/>
        <w:gridCol w:w="1881"/>
      </w:tblGrid>
      <w:tr>
        <w:trPr>
          <w:tblHeader w:val="true"/>
        </w:trPr>
        <w:tc>
          <w:tcPr>
            <w:tcW w:type="dxa" w:w="936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Source ID</w:t>
            </w:r>
          </w:p>
        </w:tc>
        <w:tc>
          <w:tcPr>
            <w:tcW w:type="dxa" w:w="2376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Source title</w:t>
            </w:r>
          </w:p>
        </w:tc>
        <w:tc>
          <w:tcPr>
            <w:tcW w:type="dxa" w:w="3096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URL or location</w:t>
            </w:r>
          </w:p>
        </w:tc>
        <w:tc>
          <w:tcPr>
            <w:tcW w:type="dxa" w:w="187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Publisher / owner</w:t>
            </w:r>
          </w:p>
        </w:tc>
        <w:tc>
          <w:tcPr>
            <w:tcW w:type="dxa" w:w="151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Publication date</w:t>
            </w:r>
          </w:p>
        </w:tc>
        <w:tc>
          <w:tcPr>
            <w:tcW w:type="dxa" w:w="151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Product version</w:t>
            </w:r>
          </w:p>
        </w:tc>
        <w:tc>
          <w:tcPr>
            <w:tcW w:type="dxa" w:w="2808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What it supports</w:t>
            </w:r>
          </w:p>
        </w:tc>
        <w:tc>
          <w:tcPr>
            <w:tcW w:type="dxa" w:w="1512"/>
            <w:shd w:fill="385A48"/>
            <w:tcMar>
              <w:top w:w="110" w:type="dxa"/>
              <w:start w:w="80" w:type="dxa"/>
              <w:bottom w:w="110" w:type="dxa"/>
              <w:end w:w="80" w:type="dxa"/>
            </w:tcMar>
            <w:vAlign w:val="center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3"/>
              </w:rPr>
              <w:t>Last reviewed</w:t>
            </w:r>
          </w:p>
        </w:tc>
      </w:tr>
      <w:tr>
        <w:trPr>
          <w:trHeight w:val="893"/>
        </w:trPr>
        <w:tc>
          <w:tcPr>
            <w:tcW w:type="dxa" w:w="936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[S01]</w:t>
            </w:r>
          </w:p>
        </w:tc>
        <w:tc>
          <w:tcPr>
            <w:tcW w:type="dxa" w:w="2376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[Title]</w:t>
            </w:r>
          </w:p>
        </w:tc>
        <w:tc>
          <w:tcPr>
            <w:tcW w:type="dxa" w:w="3096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[Link / repository]</w:t>
            </w:r>
          </w:p>
        </w:tc>
        <w:tc>
          <w:tcPr>
            <w:tcW w:type="dxa" w:w="187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[Owner]</w:t>
            </w:r>
          </w:p>
        </w:tc>
        <w:tc>
          <w:tcPr>
            <w:tcW w:type="dxa" w:w="151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[Date]</w:t>
            </w:r>
          </w:p>
        </w:tc>
        <w:tc>
          <w:tcPr>
            <w:tcW w:type="dxa" w:w="151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[Version]</w:t>
            </w:r>
          </w:p>
        </w:tc>
        <w:tc>
          <w:tcPr>
            <w:tcW w:type="dxa" w:w="2808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[Decision / claim supported]</w:t>
            </w:r>
          </w:p>
        </w:tc>
        <w:tc>
          <w:tcPr>
            <w:tcW w:type="dxa" w:w="1512"/>
            <w:shd w:fill="F3F8F4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/>
                <w:color w:val="7C858E"/>
                <w:sz w:val="13"/>
              </w:rPr>
              <w:t>[Date]</w:t>
            </w:r>
          </w:p>
        </w:tc>
      </w:tr>
      <w:tr>
        <w:trPr>
          <w:trHeight w:val="893"/>
        </w:trPr>
        <w:tc>
          <w:tcPr>
            <w:tcW w:type="dxa" w:w="93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237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309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87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</w:tr>
      <w:tr>
        <w:trPr>
          <w:trHeight w:val="893"/>
        </w:trPr>
        <w:tc>
          <w:tcPr>
            <w:tcW w:type="dxa" w:w="93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237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309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87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</w:tr>
      <w:tr>
        <w:trPr>
          <w:trHeight w:val="893"/>
        </w:trPr>
        <w:tc>
          <w:tcPr>
            <w:tcW w:type="dxa" w:w="93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237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3096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87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2808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  <w:tc>
          <w:tcPr>
            <w:tcW w:type="dxa" w:w="1512"/>
            <w:shd w:fill="FFFFFF"/>
            <w:tcMar>
              <w:top w:w="95" w:type="dxa"/>
              <w:start w:w="80" w:type="dxa"/>
              <w:bottom w:w="95" w:type="dxa"/>
              <w:end w:w="80" w:type="dxa"/>
            </w:tcMar>
            <w:vAlign w:val="top"/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7C858E"/>
                <w:sz w:val="13"/>
              </w:rPr>
            </w:r>
          </w:p>
        </w:tc>
      </w:tr>
    </w:tbl>
    <w:p>
      <w:pPr>
        <w:sectPr>
          <w:headerReference w:type="default" r:id="rId39"/>
          <w:footerReference w:type="default" r:id="rId40"/>
          <w:pgSz w:w="16834" w:h="11909" w:orient="landscape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832"/>
      </w:tblGrid>
      <w:tr>
        <w:tc>
          <w:tcPr>
            <w:tcW w:type="dxa" w:w="15048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DECISION ARCHITECTURE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4"/>
              </w:rPr>
              <w:t>Decision assembly flow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Use this page as the final review before the pack circulates. Every arrow should be supported by a named source, owner, meeting or action.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08"/>
        <w:gridCol w:w="2508"/>
        <w:gridCol w:w="2508"/>
        <w:gridCol w:w="2508"/>
        <w:gridCol w:w="2508"/>
        <w:gridCol w:w="2508"/>
      </w:tblGrid>
      <w:tr>
        <w:tc>
          <w:tcPr>
            <w:tcW w:type="dxa" w:w="2477"/>
            <w:shd w:fill="385A48"/>
            <w:tcMar>
              <w:top w:w="140" w:type="dxa"/>
              <w:start w:w="80" w:type="dxa"/>
              <w:bottom w:w="140" w:type="dxa"/>
              <w:end w:w="8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PUBLIC EVIDENCE</w:t>
            </w:r>
          </w:p>
        </w:tc>
        <w:tc>
          <w:tcPr>
            <w:tcW w:type="dxa" w:w="2477"/>
            <w:shd w:fill="385A48"/>
            <w:tcMar>
              <w:top w:w="140" w:type="dxa"/>
              <w:start w:w="80" w:type="dxa"/>
              <w:bottom w:w="140" w:type="dxa"/>
              <w:end w:w="8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WHAT IT ESTABLISHES</w:t>
            </w:r>
          </w:p>
        </w:tc>
        <w:tc>
          <w:tcPr>
            <w:tcW w:type="dxa" w:w="2477"/>
            <w:shd w:fill="385A48"/>
            <w:tcMar>
              <w:top w:w="140" w:type="dxa"/>
              <w:start w:w="80" w:type="dxa"/>
              <w:bottom w:w="140" w:type="dxa"/>
              <w:end w:w="8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WHAT REMAINS UNRESOLVED</w:t>
            </w:r>
          </w:p>
        </w:tc>
        <w:tc>
          <w:tcPr>
            <w:tcW w:type="dxa" w:w="2477"/>
            <w:shd w:fill="385A48"/>
            <w:tcMar>
              <w:top w:w="140" w:type="dxa"/>
              <w:start w:w="80" w:type="dxa"/>
              <w:bottom w:w="140" w:type="dxa"/>
              <w:end w:w="8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STAKEHOLDERS AFFECTED</w:t>
            </w:r>
          </w:p>
        </w:tc>
        <w:tc>
          <w:tcPr>
            <w:tcW w:type="dxa" w:w="2477"/>
            <w:shd w:fill="385A48"/>
            <w:tcMar>
              <w:top w:w="140" w:type="dxa"/>
              <w:start w:w="80" w:type="dxa"/>
              <w:bottom w:w="140" w:type="dxa"/>
              <w:end w:w="8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CROSS-FUNCTIONAL DECISION</w:t>
            </w:r>
          </w:p>
        </w:tc>
        <w:tc>
          <w:tcPr>
            <w:tcW w:type="dxa" w:w="2477"/>
            <w:shd w:fill="385A48"/>
            <w:tcMar>
              <w:top w:w="140" w:type="dxa"/>
              <w:start w:w="80" w:type="dxa"/>
              <w:bottom w:w="140" w:type="dxa"/>
              <w:end w:w="8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5"/>
              </w:rPr>
              <w:t>EVIDENCE OR ACTION REQUIRED NEXT</w:t>
            </w:r>
          </w:p>
        </w:tc>
      </w:tr>
      <w:tr>
        <w:tc>
          <w:tcPr>
            <w:tcW w:type="dxa" w:w="2477"/>
            <w:shd w:fill="F3F8F4"/>
            <w:tcMar>
              <w:top w:w="180" w:type="dxa"/>
              <w:start w:w="90" w:type="dxa"/>
              <w:bottom w:w="180" w:type="dxa"/>
              <w:end w:w="9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7C858E"/>
                <w:sz w:val="15"/>
              </w:rPr>
              <w:t>What can stakeholders understand before qualification?</w:t>
              <w:br/>
              <w:br/>
              <w:t>[Complete this box]</w:t>
            </w:r>
          </w:p>
        </w:tc>
        <w:tc>
          <w:tcPr>
            <w:tcW w:type="dxa" w:w="2477"/>
            <w:shd w:fill="F3F8F4"/>
            <w:tcMar>
              <w:top w:w="180" w:type="dxa"/>
              <w:start w:w="90" w:type="dxa"/>
              <w:bottom w:w="180" w:type="dxa"/>
              <w:end w:w="9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7C858E"/>
                <w:sz w:val="15"/>
              </w:rPr>
              <w:t>Which conclusions can be supported responsibly?</w:t>
              <w:br/>
              <w:br/>
              <w:t>[Complete this box]</w:t>
            </w:r>
          </w:p>
        </w:tc>
        <w:tc>
          <w:tcPr>
            <w:tcW w:type="dxa" w:w="2477"/>
            <w:shd w:fill="F3F8F4"/>
            <w:tcMar>
              <w:top w:w="180" w:type="dxa"/>
              <w:start w:w="90" w:type="dxa"/>
              <w:bottom w:w="180" w:type="dxa"/>
              <w:end w:w="9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7C858E"/>
                <w:sz w:val="15"/>
              </w:rPr>
              <w:t>Which questions, limitations or local dependencies remain?</w:t>
              <w:br/>
              <w:br/>
              <w:t>[Complete this box]</w:t>
            </w:r>
          </w:p>
        </w:tc>
        <w:tc>
          <w:tcPr>
            <w:tcW w:type="dxa" w:w="2477"/>
            <w:shd w:fill="F3F8F4"/>
            <w:tcMar>
              <w:top w:w="180" w:type="dxa"/>
              <w:start w:w="90" w:type="dxa"/>
              <w:bottom w:w="180" w:type="dxa"/>
              <w:end w:w="9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7C858E"/>
                <w:sz w:val="15"/>
              </w:rPr>
              <w:t>Who must interpret, approve, condition or act?</w:t>
              <w:br/>
              <w:br/>
              <w:t>[Complete this box]</w:t>
            </w:r>
          </w:p>
        </w:tc>
        <w:tc>
          <w:tcPr>
            <w:tcW w:type="dxa" w:w="2477"/>
            <w:shd w:fill="F3F8F4"/>
            <w:tcMar>
              <w:top w:w="180" w:type="dxa"/>
              <w:start w:w="90" w:type="dxa"/>
              <w:bottom w:w="180" w:type="dxa"/>
              <w:end w:w="9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7C858E"/>
                <w:sz w:val="15"/>
              </w:rPr>
              <w:t>Which meeting or governance route must reach an output?</w:t>
              <w:br/>
              <w:br/>
              <w:t>[Complete this box]</w:t>
            </w:r>
          </w:p>
        </w:tc>
        <w:tc>
          <w:tcPr>
            <w:tcW w:type="dxa" w:w="2477"/>
            <w:shd w:fill="F3F8F4"/>
            <w:tcMar>
              <w:top w:w="180" w:type="dxa"/>
              <w:start w:w="90" w:type="dxa"/>
              <w:bottom w:w="180" w:type="dxa"/>
              <w:end w:w="9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pPr>
              <w:jc w:val="center"/>
            </w:pPr>
            <w:r>
              <w:rPr>
                <w:rFonts w:ascii="Arial" w:hAnsi="Arial"/>
                <w:b w:val="0"/>
                <w:i/>
                <w:color w:val="7C858E"/>
                <w:sz w:val="15"/>
              </w:rPr>
              <w:t>What must happen before the next decision gate?</w:t>
              <w:br/>
              <w:br/>
              <w:t>[Complete this box]</w:t>
            </w:r>
          </w:p>
        </w:tc>
      </w:tr>
    </w:tbl>
    <w:p>
      <w:pPr>
        <w:spacing w:after="8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048"/>
      </w:tblGrid>
      <w:tr>
        <w:tc>
          <w:tcPr>
            <w:tcW w:type="dxa" w:w="15048"/>
            <w:shd w:fill="E5EEF3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4D7187"/>
                <w:sz w:val="18"/>
              </w:rPr>
              <w:t>FINAL CIRCULATION CHECK</w:t>
              <w:br/>
            </w:r>
            <w:r>
              <w:rPr>
                <w:rFonts w:ascii="Arial" w:hAnsi="Arial"/>
                <w:b w:val="0"/>
                <w:i w:val="0"/>
                <w:color w:val="15202B"/>
                <w:sz w:val="19"/>
              </w:rPr>
              <w:t>The pack should make the decision, evidence, limitations, owners, meetings and next gate understandable without requiring the internal champion to narrate the entire case live.</w:t>
            </w:r>
          </w:p>
        </w:tc>
      </w:tr>
    </w:tbl>
    <w:p>
      <w:pPr>
        <w:sectPr>
          <w:headerReference w:type="default" r:id="rId41"/>
          <w:footerReference w:type="default" r:id="rId42"/>
          <w:pgSz w:w="16834" w:h="11909" w:orient="landscape"/>
          <w:pgMar w:top="792" w:right="893" w:bottom="792" w:left="893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123"/>
            <w:shd w:fill="111A22"/>
            <w:tcMar>
              <w:top w:w="300" w:type="dxa"/>
              <w:start w:w="320" w:type="dxa"/>
              <w:bottom w:w="300" w:type="dxa"/>
              <w:end w:w="320" w:type="dxa"/>
            </w:tcMar>
          </w:tcPr>
          <w:p>
            <w:r>
              <w:rPr>
                <w:rFonts w:ascii="Arial" w:hAnsi="Arial"/>
                <w:b/>
                <w:i w:val="0"/>
                <w:color w:val="C7D6CC"/>
                <w:sz w:val="17"/>
              </w:rPr>
              <w:t>REFERENCE APPENDIX</w:t>
            </w:r>
          </w:p>
          <w:p>
            <w:r>
              <w:rPr>
                <w:rFonts w:ascii="Arial" w:hAnsi="Arial"/>
                <w:b/>
                <w:i w:val="0"/>
                <w:color w:val="FFFFFF"/>
                <w:sz w:val="48"/>
              </w:rPr>
              <w:t>Source library</w:t>
            </w:r>
          </w:p>
          <w:p>
            <w:r>
              <w:rPr>
                <w:rFonts w:ascii="Arial" w:hAnsi="Arial"/>
                <w:b w:val="0"/>
                <w:i w:val="0"/>
                <w:color w:val="DFE8E2"/>
                <w:sz w:val="21"/>
              </w:rPr>
              <w:t>These sources informed the question architecture. They do not replace clinical, legal, security, procurement, regulatory or organisation-specific review.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61"/>
        <w:gridCol w:w="5061"/>
      </w:tblGrid>
      <w:tr>
        <w:tc>
          <w:tcPr>
            <w:tcW w:type="dxa" w:w="4320"/>
            <w:shd w:fill="385A48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Reference</w:t>
            </w:r>
          </w:p>
        </w:tc>
        <w:tc>
          <w:tcPr>
            <w:tcW w:type="dxa" w:w="5760"/>
            <w:shd w:fill="385A48"/>
            <w:tcMar>
              <w:top w:w="110" w:type="dxa"/>
              <w:start w:w="100" w:type="dxa"/>
              <w:bottom w:w="11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URL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UK Government, A buyer's guide to AI in health and care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https://www.gov.uk/data-ethics-guidance/a-buyers-guide-to-ai-in-health-and-care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FDA, Transparency for Machine Learning-Enabled Medical Devices: Guiding Principles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https://www.fda.gov/medical-devices/software-medical-device-samd/transparency-machine-learning-enabled-medical-devices-guiding-principles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NIST, AI Risk Management Framework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https://www.nist.gov/itl/ai-risk-management-framework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WHO, Ethics and governance of artificial intelligence for health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https://www.who.int/publications/i/item/9789240029200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FAIR-AI, A practical framework for appropriate implementation and review of AI in healthcare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https://www.nature.com/articles/s41746-025-01900-y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Early pipeline framework for assessing vendor AI solutions to support return on investment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https://www.nature.com/articles/s41746-025-01767-z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DECIDE-AI reporting guideline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https://www.bmj.com/content/377/bmj-2022-070904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ONC HTI-1 Final Rule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https://healthit.gov/regulations/hti-rules/hti-1-final-rule/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HHS Healthcare and Public Health Cybersecurity Performance Goals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https://hhscyber.hhs.gov/cybersecurity-performance-goals.html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FDA, Cybersecurity in Medical Devices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https://www.fda.gov/regulatory-information/search-fda-guidance-documents/cybersecurity-medical-devices-quality-system-considerations-and-content-premarket-submissions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LinkedIn and Bain, The Principles of Buyability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https://www.linkedin.com/business/marketing/blog/research-and-insights/the-principles-of-buyability-why-strong-deals-stall-and-what-separates-the-vendors-who-get-chosen</w:t>
            </w:r>
          </w:p>
        </w:tc>
      </w:tr>
      <w:tr>
        <w:tc>
          <w:tcPr>
            <w:tcW w:type="dxa" w:w="4320"/>
            <w:shd w:fill="EAF1EC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/>
                <w:i w:val="0"/>
                <w:color w:val="385A48"/>
                <w:sz w:val="15"/>
              </w:rPr>
              <w:t>Forrester, 2026 State of Business Buying</w:t>
            </w:r>
          </w:p>
        </w:tc>
        <w:tc>
          <w:tcPr>
            <w:tcW w:type="dxa" w:w="5760"/>
            <w:shd w:fill="FFFFFF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4" w:color="D9DED8"/>
              <w:left w:val="single" w:sz="4" w:color="D9DED8"/>
              <w:bottom w:val="single" w:sz="4" w:color="D9DED8"/>
              <w:right w:val="single" w:sz="4" w:color="D9DED8"/>
            </w:tcBorders>
          </w:tcPr>
          <w:p>
            <w:r>
              <w:rPr>
                <w:rFonts w:ascii="Arial" w:hAnsi="Arial"/>
                <w:b w:val="0"/>
                <w:i w:val="0"/>
                <w:color w:val="5A6470"/>
                <w:sz w:val="15"/>
              </w:rPr>
              <w:t>https://www.forrester.com/press-newsroom/forrester-2026-the-state-of-business-buying/</w:t>
            </w:r>
          </w:p>
        </w:tc>
      </w:tr>
    </w:tbl>
    <w:sectPr w:rsidR="00FC693F" w:rsidRPr="0006063C" w:rsidSect="00034616">
      <w:headerReference w:type="default" r:id="rId43"/>
      <w:footerReference w:type="default" r:id="rId44"/>
      <w:pgSz w:w="11909" w:h="16834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0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1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footer9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470"/>
        <w:sz w:val="16"/>
      </w:rPr>
      <w:t>Archoric  |  archoric.com  |  Replace all grey guidance before circulation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0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7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18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7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8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header9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385A48"/>
        <w:sz w:val="16"/>
      </w:rPr>
      <w:t>ARCHORIC  |  INTERNAL CHAMPION DECISION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520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5202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385A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Relationship Id="rId21" Type="http://schemas.openxmlformats.org/officeDocument/2006/relationships/header" Target="header7.xml"/><Relationship Id="rId22" Type="http://schemas.openxmlformats.org/officeDocument/2006/relationships/footer" Target="footer7.xml"/><Relationship Id="rId23" Type="http://schemas.openxmlformats.org/officeDocument/2006/relationships/header" Target="header8.xml"/><Relationship Id="rId24" Type="http://schemas.openxmlformats.org/officeDocument/2006/relationships/footer" Target="footer8.xml"/><Relationship Id="rId25" Type="http://schemas.openxmlformats.org/officeDocument/2006/relationships/header" Target="header9.xml"/><Relationship Id="rId26" Type="http://schemas.openxmlformats.org/officeDocument/2006/relationships/footer" Target="footer9.xml"/><Relationship Id="rId27" Type="http://schemas.openxmlformats.org/officeDocument/2006/relationships/header" Target="header10.xml"/><Relationship Id="rId28" Type="http://schemas.openxmlformats.org/officeDocument/2006/relationships/footer" Target="footer10.xml"/><Relationship Id="rId29" Type="http://schemas.openxmlformats.org/officeDocument/2006/relationships/header" Target="header11.xml"/><Relationship Id="rId30" Type="http://schemas.openxmlformats.org/officeDocument/2006/relationships/footer" Target="footer11.xml"/><Relationship Id="rId31" Type="http://schemas.openxmlformats.org/officeDocument/2006/relationships/header" Target="header12.xml"/><Relationship Id="rId32" Type="http://schemas.openxmlformats.org/officeDocument/2006/relationships/footer" Target="footer12.xml"/><Relationship Id="rId33" Type="http://schemas.openxmlformats.org/officeDocument/2006/relationships/header" Target="header13.xml"/><Relationship Id="rId34" Type="http://schemas.openxmlformats.org/officeDocument/2006/relationships/footer" Target="footer13.xml"/><Relationship Id="rId35" Type="http://schemas.openxmlformats.org/officeDocument/2006/relationships/header" Target="header14.xml"/><Relationship Id="rId36" Type="http://schemas.openxmlformats.org/officeDocument/2006/relationships/footer" Target="footer14.xml"/><Relationship Id="rId37" Type="http://schemas.openxmlformats.org/officeDocument/2006/relationships/header" Target="header15.xml"/><Relationship Id="rId38" Type="http://schemas.openxmlformats.org/officeDocument/2006/relationships/footer" Target="footer15.xml"/><Relationship Id="rId39" Type="http://schemas.openxmlformats.org/officeDocument/2006/relationships/header" Target="header16.xml"/><Relationship Id="rId40" Type="http://schemas.openxmlformats.org/officeDocument/2006/relationships/footer" Target="footer16.xml"/><Relationship Id="rId41" Type="http://schemas.openxmlformats.org/officeDocument/2006/relationships/header" Target="header17.xml"/><Relationship Id="rId42" Type="http://schemas.openxmlformats.org/officeDocument/2006/relationships/footer" Target="footer17.xml"/><Relationship Id="rId43" Type="http://schemas.openxmlformats.org/officeDocument/2006/relationships/header" Target="header18.xml"/><Relationship Id="rId44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Champion Decision Pack Template</dc:title>
  <dc:subject>Archoric public decision resource</dc:subject>
  <dc:creator>Archoric</dc:creator>
  <cp:keywords>healthcare AI, internal champion, decision pack, evidence, governance, implementation</cp:keywords>
  <dc:description>Editable public educational resource. Replace all grey guidance before circulation.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