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Label"/>
      </w:pPr>
      <w:r>
        <w:t>ARCHORIC  /  PUBLIC DECISION READINESS</w:t>
      </w:r>
    </w:p>
    <w:p>
      <w:pPr>
        <w:pStyle w:val="Title"/>
      </w:pPr>
      <w:r>
        <w:t>Healthcare AI Vendor Evaluation Questions</w:t>
      </w:r>
    </w:p>
    <w:p>
      <w:r>
        <w:rPr>
          <w:color w:val="4D535D"/>
          <w:sz w:val="24"/>
        </w:rPr>
        <w:t>48 questions for understanding what different enterprise stakeholders need before a complex evaluation can advance.</w:t>
      </w:r>
    </w:p>
    <w:p>
      <w:r>
        <w:rPr>
          <w:b/>
          <w:color w:val="127A5A"/>
          <w:sz w:val="20"/>
        </w:rPr>
        <w:t>Confident decisions start before the demo.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893"/>
      </w:tblGrid>
      <w:tr>
        <w:tc>
          <w:tcPr>
            <w:tcW w:type="dxa" w:w="9893"/>
            <w:shd w:fill="E7F6F0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r>
              <w:rPr>
                <w:b/>
                <w:color w:val="127A5A"/>
                <w:sz w:val="20"/>
              </w:rPr>
              <w:t>How to use this guide</w:t>
              <w:br/>
            </w:r>
            <w:r>
              <w:rPr>
                <w:color w:val="10131A"/>
                <w:sz w:val="19"/>
              </w:rPr>
              <w:t>Use the questions to prepare evidence routes, not to imply that every answer belongs on a public website. Separate what can be understood publicly from what should be shared after qualification, under NDA or through testing for the proposed use case.</w:t>
            </w:r>
          </w:p>
        </w:tc>
      </w:tr>
    </w:tbl>
    <w:p/>
    <w:p>
      <w:pPr>
        <w:pStyle w:val="Heading1"/>
      </w:pPr>
      <w:r>
        <w:t>The four evidence-access levels</w:t>
      </w:r>
    </w:p>
    <w:p>
      <w:r>
        <w:rPr>
          <w:b/>
          <w:color w:val="127A5A"/>
        </w:rPr>
        <w:t xml:space="preserve">Visible publicly: </w:t>
      </w:r>
      <w:r>
        <w:t>The orientation a stakeholder can review before contacting the company.</w:t>
      </w:r>
    </w:p>
    <w:p>
      <w:r>
        <w:rPr>
          <w:b/>
          <w:color w:val="127A5A"/>
        </w:rPr>
        <w:t xml:space="preserve">Shared after a serious enquiry: </w:t>
      </w:r>
      <w:r>
        <w:t>Detailed information provided after the use case and stakeholder need are qualified.</w:t>
      </w:r>
    </w:p>
    <w:p>
      <w:r>
        <w:rPr>
          <w:b/>
          <w:color w:val="127A5A"/>
        </w:rPr>
        <w:t xml:space="preserve">Confidential under NDA: </w:t>
      </w:r>
      <w:r>
        <w:t>Sensitive technical, security, legal or commercial material.</w:t>
      </w:r>
    </w:p>
    <w:p>
      <w:r>
        <w:rPr>
          <w:b/>
          <w:color w:val="127A5A"/>
        </w:rPr>
        <w:t xml:space="preserve">Testing for the proposed use case: </w:t>
      </w:r>
      <w:r>
        <w:t>Evidence that must be produced or confirmed in the buyer’s environment.</w:t>
      </w:r>
    </w:p>
    <w:p>
      <w:r>
        <w:br w:type="page"/>
      </w:r>
    </w:p>
    <w:p>
      <w:pPr>
        <w:pStyle w:val="Heading1"/>
      </w:pPr>
      <w:r>
        <w:t>Clinical leadership</w:t>
      </w:r>
    </w:p>
    <w:p>
      <w:pPr>
        <w:pStyle w:val="Heading2"/>
      </w:pPr>
      <w:r>
        <w:t>1. What clinical problem is the product intended to address?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A precise problem definition prevents a promising capability from being evaluated outside the need it was designed to solve.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A bounded intended-use statement, target condition, current workflow problem and non-goals.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Visible publicly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https://www.fda.gov/medical-devices/software-medical-device-samd/transparency-machine-learning-enabled-medical-devices-guiding-principles</w:t>
            </w:r>
          </w:p>
        </w:tc>
      </w:tr>
    </w:tbl>
    <w:p/>
    <w:p>
      <w:pPr>
        <w:pStyle w:val="Heading2"/>
      </w:pPr>
      <w:r>
        <w:t>2. Who is the intended user, patient population and care setting?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Performance and safety cannot be interpreted without knowing who uses the product, for whom and under which conditions.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Named users, target population, care setting, inclusion and exclusion boundaries.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Visible publicly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https://www.fda.gov/medical-devices/software-medical-device-samd/transparency-machine-learning-enabled-medical-devices-guiding-principles</w:t>
            </w:r>
          </w:p>
        </w:tc>
      </w:tr>
    </w:tbl>
    <w:p/>
    <w:p>
      <w:pPr>
        <w:pStyle w:val="Heading2"/>
      </w:pPr>
      <w:r>
        <w:t>3. What role does the AI play in the clinical workflow?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A stakeholder must understand whether the system informs, prioritises, recommends, automates or replaces part of a decision.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Workflow diagram, intended inputs and outputs, human review point and action supported.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Visible publicly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https://www.fda.gov/medical-devices/software-medical-device-samd/transparency-machine-learning-enabled-medical-devices-guiding-principles</w:t>
            </w:r>
          </w:p>
        </w:tc>
      </w:tr>
    </w:tbl>
    <w:p/>
    <w:p>
      <w:pPr>
        <w:pStyle w:val="Heading2"/>
      </w:pPr>
      <w:r>
        <w:t>4. What evidence supports performance, clinical utility and safe use?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A metric alone does not show whether the product improves a relevant decision or outcome in practice.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Study summaries, evaluation setting, comparators, endpoints, sample characteristics and limitations.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Visible publicly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https://www.fda.gov/medical-devices/software-medical-device-samd/transparency-machine-learning-enabled-medical-devices-guiding-principles</w:t>
            </w:r>
          </w:p>
        </w:tc>
      </w:tr>
    </w:tbl>
    <w:p/>
    <w:p>
      <w:pPr>
        <w:pStyle w:val="Heading2"/>
      </w:pPr>
      <w:r>
        <w:t>5. What limitations, failure modes and excluded populations are known?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Explicit limits help teams decide where the product should not be relied upon and what safeguards are required.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Known biases, failure conditions, confidence ranges, data gaps, contraindications and out-of-scope uses.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Visible publicly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https://www.fda.gov/medical-devices/software-medical-device-samd/transparency-machine-learning-enabled-medical-devices-guiding-principles</w:t>
            </w:r>
          </w:p>
        </w:tc>
      </w:tr>
    </w:tbl>
    <w:p/>
    <w:p>
      <w:pPr>
        <w:pStyle w:val="Heading2"/>
      </w:pPr>
      <w:r>
        <w:t>6. What happens when the AI output is uncertain, incorrect or unavailable?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A safe workflow needs a fallback route before implementation, not after an incident.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Human escalation, exception handling, override, downtime process and clinical responsibility.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Shared after a serious enquiry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https://www.nature.com/articles/s41746-025-01900-y</w:t>
            </w:r>
          </w:p>
        </w:tc>
      </w:tr>
    </w:tbl>
    <w:p/>
    <w:p>
      <w:r>
        <w:br w:type="page"/>
      </w:r>
    </w:p>
    <w:p>
      <w:pPr>
        <w:pStyle w:val="Heading1"/>
      </w:pPr>
      <w:r>
        <w:t>Governance and compliance</w:t>
      </w:r>
    </w:p>
    <w:p>
      <w:pPr>
        <w:pStyle w:val="Heading2"/>
      </w:pPr>
      <w:r>
        <w:t>1. Who is accountable for approval, oversight and stopping use?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A decision cannot be governed when authority and accountability remain implicit.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Named decision owner, oversight body, review cadence, escalation authority and stop criteria.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Shared after a serious enquiry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https://www.nist.gov/itl/ai-risk-management-framework</w:t>
            </w:r>
          </w:p>
        </w:tc>
      </w:tr>
    </w:tbl>
    <w:p/>
    <w:p>
      <w:pPr>
        <w:pStyle w:val="Heading2"/>
      </w:pPr>
      <w:r>
        <w:t>2. Which decisions remain with humans?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Human oversight must be described at the point where the system influences care, not only as a general principle.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Decision-rights map, review obligations, override conditions and prohibited automation.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Visible publicly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https://www.fda.gov/medical-devices/software-medical-device-samd/transparency-machine-learning-enabled-medical-devices-guiding-principles</w:t>
            </w:r>
          </w:p>
        </w:tc>
      </w:tr>
    </w:tbl>
    <w:p/>
    <w:p>
      <w:pPr>
        <w:pStyle w:val="Heading2"/>
      </w:pPr>
      <w:r>
        <w:t>3. How are bias, fairness and population fit assessed?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A health system needs to know whether performance and risk may vary across populations or settings.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Subgroup analysis, data representativeness, known gaps, mitigation and local-validation plan.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Shared after a serious enquiry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https://www.who.int/publications/i/item/9789240029200</w:t>
            </w:r>
          </w:p>
        </w:tc>
      </w:tr>
    </w:tbl>
    <w:p/>
    <w:p>
      <w:pPr>
        <w:pStyle w:val="Heading2"/>
      </w:pPr>
      <w:r>
        <w:t>4. How are model updates, version changes and new claims governed?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A decision made on one version can become invalid if the product changes without a controlled review.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Version history, change-control process, notification rules, revalidation triggers and claim approval.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Shared after a serious enquiry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https://www.nist.gov/itl/ai-risk-management-framework</w:t>
            </w:r>
          </w:p>
        </w:tc>
      </w:tr>
    </w:tbl>
    <w:p/>
    <w:p>
      <w:pPr>
        <w:pStyle w:val="Heading2"/>
      </w:pPr>
      <w:r>
        <w:t>5. How are incidents, complaints and performance concerns escalated?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Teams need to know how issues become visible, investigated, corrected and communicated.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Incident taxonomy, reporting route, response times, corrective action and stakeholder notification.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Shared after a serious enquiry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https://www.nature.com/articles/s41746-025-01900-y</w:t>
            </w:r>
          </w:p>
        </w:tc>
      </w:tr>
    </w:tbl>
    <w:p/>
    <w:p>
      <w:pPr>
        <w:pStyle w:val="Heading2"/>
      </w:pPr>
      <w:r>
        <w:t>6. Which regulatory and claim boundaries apply?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Public language should not imply uses, outcomes or assurances beyond the product’s current evidence and status.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Regulatory status, intended-use boundary, approved claims, jurisdiction and legal review route.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Visible publicly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https://www.gov.uk/data-ethics-guidance/a-buyers-guide-to-ai-in-health-and-care</w:t>
            </w:r>
          </w:p>
        </w:tc>
      </w:tr>
    </w:tbl>
    <w:p/>
    <w:p>
      <w:r>
        <w:br w:type="page"/>
      </w:r>
    </w:p>
    <w:p>
      <w:pPr>
        <w:pStyle w:val="Heading1"/>
      </w:pPr>
      <w:r>
        <w:t>Security and privacy</w:t>
      </w:r>
    </w:p>
    <w:p>
      <w:pPr>
        <w:pStyle w:val="Heading2"/>
      </w:pPr>
      <w:r>
        <w:t>1. What data enters, leaves and remains in the system?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A security review starts with an understandable data flow, not a list of certifications.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Data-flow diagram, data types, storage locations, transfers, outputs and retention.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Shared after a serious enquiry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https://hhscyber.hhs.gov/cybersecurity-performance-goals.html</w:t>
            </w:r>
          </w:p>
        </w:tc>
      </w:tr>
    </w:tbl>
    <w:p/>
    <w:p>
      <w:pPr>
        <w:pStyle w:val="Heading2"/>
      </w:pPr>
      <w:r>
        <w:t>2. Which core security controls protect the service?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Stakeholders need evidence of how access, identity, encryption, logging and resilience are managed.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Security overview, control mapping, independent assurance and current certification scope.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Shared after a serious enquiry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https://hhscyber.hhs.gov/cybersecurity-performance-goals.html</w:t>
            </w:r>
          </w:p>
        </w:tc>
      </w:tr>
    </w:tbl>
    <w:p/>
    <w:p>
      <w:pPr>
        <w:pStyle w:val="Heading2"/>
      </w:pPr>
      <w:r>
        <w:t>3. Is customer data used to train or improve models?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The answer affects consent, privacy, contractual rights, data governance and risk.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Clear data-use statement, opt-in or opt-out conditions, de-identification and training boundaries.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Visible publicly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https://hhscyber.hhs.gov/cybersecurity-performance-goals.html</w:t>
            </w:r>
          </w:p>
        </w:tc>
      </w:tr>
    </w:tbl>
    <w:p/>
    <w:p>
      <w:pPr>
        <w:pStyle w:val="Heading2"/>
      </w:pPr>
      <w:r>
        <w:t>4. How are access, logging, retention and subprocessors managed?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Operational control depends on who can access data, how activity is recorded and where third parties are involved.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Role-based access, audit logs, retention schedule, deletion process and subprocessor list.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Shared after a serious enquiry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https://hhscyber.hhs.gov/cybersecurity-performance-goals.html</w:t>
            </w:r>
          </w:p>
        </w:tc>
      </w:tr>
    </w:tbl>
    <w:p/>
    <w:p>
      <w:pPr>
        <w:pStyle w:val="Heading2"/>
      </w:pPr>
      <w:r>
        <w:t>5. How are vulnerabilities disclosed and patched?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A buyer needs to understand how security defects are found, prioritised, communicated and corrected.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Vulnerability disclosure policy, patch process, severity model and customer notification.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Visible publicly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https://hhscyber.hhs.gov/cybersecurity-performance-goals.html</w:t>
            </w:r>
          </w:p>
        </w:tc>
      </w:tr>
    </w:tbl>
    <w:p/>
    <w:p>
      <w:pPr>
        <w:pStyle w:val="Heading2"/>
      </w:pPr>
      <w:r>
        <w:t>6. What happens during downtime, breach or service disruption?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Continuity and recovery affect patient safety, workflow and organisational exposure.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Business continuity, disaster recovery, recovery targets, breach response and fallback workflow.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Confidential under NDA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https://hhscyber.hhs.gov/cybersecurity-performance-goals.html</w:t>
            </w:r>
          </w:p>
        </w:tc>
      </w:tr>
    </w:tbl>
    <w:p/>
    <w:p>
      <w:r>
        <w:br w:type="page"/>
      </w:r>
    </w:p>
    <w:p>
      <w:pPr>
        <w:pStyle w:val="Heading1"/>
      </w:pPr>
      <w:r>
        <w:t>Technical integration and data</w:t>
      </w:r>
    </w:p>
    <w:p>
      <w:pPr>
        <w:pStyle w:val="Heading2"/>
      </w:pPr>
      <w:r>
        <w:t>1. Which systems, standards and data formats are required?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Integration feasibility depends on the buyer’s actual environment, not a generic compatibility claim.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Supported systems, APIs, standards, formats, infrastructure and dependency list.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Visible publicly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https://www.nature.com/articles/s41746-025-01900-y</w:t>
            </w:r>
          </w:p>
        </w:tc>
      </w:tr>
    </w:tbl>
    <w:p/>
    <w:p>
      <w:pPr>
        <w:pStyle w:val="Heading2"/>
      </w:pPr>
      <w:r>
        <w:t>2. What integration work is required from the buyer and vendor?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Hidden technical labour can change the real cost and feasibility of adoption.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Responsibility matrix, integration sequence, technical prerequisites and effort assumptions.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Shared after a serious enquiry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https://www.nature.com/articles/s41746-025-01900-y</w:t>
            </w:r>
          </w:p>
        </w:tc>
      </w:tr>
    </w:tbl>
    <w:p/>
    <w:p>
      <w:pPr>
        <w:pStyle w:val="Heading2"/>
      </w:pPr>
      <w:r>
        <w:t>3. Which data-quality assumptions affect performance?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A model may perform differently when local data is incomplete, delayed, inconsistent or outside its training conditions.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Required fields, quality thresholds, missing-data handling, data provenance and failure conditions.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Shared after a serious enquiry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https://www.fda.gov/medical-devices/software-medical-device-samd/transparency-machine-learning-enabled-medical-devices-guiding-principles</w:t>
            </w:r>
          </w:p>
        </w:tc>
      </w:tr>
    </w:tbl>
    <w:p/>
    <w:p>
      <w:pPr>
        <w:pStyle w:val="Heading2"/>
      </w:pPr>
      <w:r>
        <w:t>4. What local acceptance testing is required before go-live?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Local testing connects vendor evidence to the buyer’s environment and intended use.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Acceptance-test plan, sample requirements, pass criteria, owners and release decision.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Testing for the proposed use case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https://www.fda.gov/medical-devices/software-medical-device-samd/transparency-machine-learning-enabled-medical-devices-guiding-principles</w:t>
            </w:r>
          </w:p>
        </w:tc>
      </w:tr>
    </w:tbl>
    <w:p/>
    <w:p>
      <w:pPr>
        <w:pStyle w:val="Heading2"/>
      </w:pPr>
      <w:r>
        <w:t>5. How will drift, degradation and data changes be monitored?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A safe decision must account for performance after deployment, not only before purchase.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Monitoring metrics, thresholds, alert ownership, investigation and retraining or rollback rules.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Shared after a serious enquiry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https://www.fda.gov/medical-devices/software-medical-device-samd/transparency-machine-learning-enabled-medical-devices-guiding-principles</w:t>
            </w:r>
          </w:p>
        </w:tc>
      </w:tr>
    </w:tbl>
    <w:p/>
    <w:p>
      <w:pPr>
        <w:pStyle w:val="Heading2"/>
      </w:pPr>
      <w:r>
        <w:t>6. What technical resources and support are required over time?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The operating burden continues after implementation and should be visible before commitment.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Support model, staffing assumptions, service hours, maintenance, upgrade and escalation responsibilities.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Shared after a serious enquiry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https://www.nature.com/articles/s41746-025-01900-y</w:t>
            </w:r>
          </w:p>
        </w:tc>
      </w:tr>
    </w:tbl>
    <w:p/>
    <w:p>
      <w:r>
        <w:br w:type="page"/>
      </w:r>
    </w:p>
    <w:p>
      <w:pPr>
        <w:pStyle w:val="Heading1"/>
      </w:pPr>
      <w:r>
        <w:t>Operations and implementation</w:t>
      </w:r>
    </w:p>
    <w:p>
      <w:pPr>
        <w:pStyle w:val="Heading2"/>
      </w:pPr>
      <w:r>
        <w:t>1. What changes in the current workflow?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Operational fit depends on how tasks, handoffs, exceptions and accountability change in practice.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Before-and-after workflow, role changes, handoffs, exception routes and decision points.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Visible publicly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https://www.fda.gov/medical-devices/software-medical-device-samd/transparency-machine-learning-enabled-medical-devices-guiding-principles</w:t>
            </w:r>
          </w:p>
        </w:tc>
      </w:tr>
    </w:tbl>
    <w:p/>
    <w:p>
      <w:pPr>
        <w:pStyle w:val="Heading2"/>
      </w:pPr>
      <w:r>
        <w:t>2. What new work, training and exception handling will be required?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A productivity claim can hide new review, correction, monitoring or coordination work.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Training plan, review burden, exception volume assumptions, support and ownership.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Shared after a serious enquiry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https://www.nature.com/articles/s41746-025-01900-y</w:t>
            </w:r>
          </w:p>
        </w:tc>
      </w:tr>
    </w:tbl>
    <w:p/>
    <w:p>
      <w:pPr>
        <w:pStyle w:val="Heading2"/>
      </w:pPr>
      <w:r>
        <w:t>3. What is the implementation sequence, timeline and ownership model?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A credible transition requires more than a destination. Teams need to see how the change will be made survivable.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Phases, milestones, dependencies, internal owner, vendor owner and readiness criteria.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Shared after a serious enquiry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https://www.nature.com/articles/s41746-025-01900-y</w:t>
            </w:r>
          </w:p>
        </w:tc>
      </w:tr>
    </w:tbl>
    <w:p/>
    <w:p>
      <w:pPr>
        <w:pStyle w:val="Heading2"/>
      </w:pPr>
      <w:r>
        <w:t>4. How will a pilot be designed and judged?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A pilot without success, failure and exit criteria can consume resources without producing a decision.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Pilot question, scope, baseline, measures, responsibilities, success criteria and stop rule.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Testing for the proposed use case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https://www.nature.com/articles/s41746-025-01767-z</w:t>
            </w:r>
          </w:p>
        </w:tc>
      </w:tr>
    </w:tbl>
    <w:p/>
    <w:p>
      <w:pPr>
        <w:pStyle w:val="Heading2"/>
      </w:pPr>
      <w:r>
        <w:t>5. What happens when the system does not perform as expected?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Exception and fallback design protects workflow continuity and clarifies responsibility.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Fallback workflow, manual alternative, issue ownership, communication and correction path.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Shared after a serious enquiry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https://www.nature.com/articles/s41746-025-01900-y</w:t>
            </w:r>
          </w:p>
        </w:tc>
      </w:tr>
    </w:tbl>
    <w:p/>
    <w:p>
      <w:pPr>
        <w:pStyle w:val="Heading2"/>
      </w:pPr>
      <w:r>
        <w:t>6. How will adoption, feedback and refinement be managed?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A product can technically launch while failing to become usable or accepted in the real workflow.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Adoption measures, feedback route, review cadence, training refresh and improvement ownership.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Shared after a serious enquiry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https://www.nature.com/articles/s41746-025-01900-y</w:t>
            </w:r>
          </w:p>
        </w:tc>
      </w:tr>
    </w:tbl>
    <w:p/>
    <w:p>
      <w:r>
        <w:br w:type="page"/>
      </w:r>
    </w:p>
    <w:p>
      <w:pPr>
        <w:pStyle w:val="Heading1"/>
      </w:pPr>
      <w:r>
        <w:t>Finance and procurement</w:t>
      </w:r>
    </w:p>
    <w:p>
      <w:pPr>
        <w:pStyle w:val="Heading2"/>
      </w:pPr>
      <w:r>
        <w:t>1. What current problem, cost or constrained capacity is the investment intended to change?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A value case should start with the existing condition, not the product’s feature list.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Baseline problem, affected volume, current cost, resource constraint and consequence of doing nothing.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Shared after a serious enquiry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https://www.nature.com/articles/s41746-025-01767-z</w:t>
            </w:r>
          </w:p>
        </w:tc>
      </w:tr>
    </w:tbl>
    <w:p/>
    <w:p>
      <w:pPr>
        <w:pStyle w:val="Heading2"/>
      </w:pPr>
      <w:r>
        <w:t>2. What costs exist beyond the licence price?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Implementation labour, integration, training, governance, monitoring and switching costs form part of the effective price.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Total-cost model covering internal labour, technical work, training, support and ongoing oversight.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Shared after a serious enquiry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https://www.nature.com/articles/s41746-025-01767-z</w:t>
            </w:r>
          </w:p>
        </w:tc>
      </w:tr>
    </w:tbl>
    <w:p/>
    <w:p>
      <w:pPr>
        <w:pStyle w:val="Heading2"/>
      </w:pPr>
      <w:r>
        <w:t>3. Which outcomes will be measured, over what period and by whom?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A measurable value case needs defined outcomes, timing, data sources and accountable owners.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Outcome definitions, baseline, measurement plan, time horizon and reporting owner.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Testing for the proposed use case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https://www.nature.com/articles/s41746-025-01767-z</w:t>
            </w:r>
          </w:p>
        </w:tc>
      </w:tr>
    </w:tbl>
    <w:p/>
    <w:p>
      <w:pPr>
        <w:pStyle w:val="Heading2"/>
      </w:pPr>
      <w:r>
        <w:t>4. What evidence and assumptions support the projected value?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A projection should separate observed evidence from assumptions and buyer-specific estimates.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Assumption register, source evidence, ranges, dependencies and sensitivity analysis.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Shared after a serious enquiry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https://www.nature.com/articles/s41746-025-01767-z</w:t>
            </w:r>
          </w:p>
        </w:tc>
      </w:tr>
    </w:tbl>
    <w:p/>
    <w:p>
      <w:pPr>
        <w:pStyle w:val="Heading2"/>
      </w:pPr>
      <w:r>
        <w:t>5. What contract, service, liability and exit conditions apply?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Commercial terms can change operational risk, accountability and the cost of reversing the decision.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Service levels, support, data return, termination, liability, transition and continuity terms.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Confidential under NDA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https://www.gov.uk/data-ethics-guidance/a-buyers-guide-to-ai-in-health-and-care</w:t>
            </w:r>
          </w:p>
        </w:tc>
      </w:tr>
    </w:tbl>
    <w:p/>
    <w:p>
      <w:pPr>
        <w:pStyle w:val="Heading2"/>
      </w:pPr>
      <w:r>
        <w:t>6. What would justify scaling, renegotiating, pausing or stopping?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A decision is more defensible when continuation and exit conditions are agreed before commitment.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Decision gates, thresholds, review dates, escalation and exit criteria.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Testing for the proposed use case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https://www.nature.com/articles/s41746-025-01767-z</w:t>
            </w:r>
          </w:p>
        </w:tc>
      </w:tr>
    </w:tbl>
    <w:p/>
    <w:p>
      <w:r>
        <w:br w:type="page"/>
      </w:r>
    </w:p>
    <w:p>
      <w:pPr>
        <w:pStyle w:val="Heading1"/>
      </w:pPr>
      <w:r>
        <w:t>Executive sponsor</w:t>
      </w:r>
    </w:p>
    <w:p>
      <w:pPr>
        <w:pStyle w:val="Heading2"/>
      </w:pPr>
      <w:r>
        <w:t>1. How does this opportunity support a current organisational priority?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Strategic relevance determines whether the opportunity deserves scarce attention, resources and political support.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Named priority, affected objective, executive owner and expected organisational contribution.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Shared after a serious enquiry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https://www.nature.com/articles/s41746-025-01767-z</w:t>
            </w:r>
          </w:p>
        </w:tc>
      </w:tr>
    </w:tbl>
    <w:p/>
    <w:p>
      <w:pPr>
        <w:pStyle w:val="Heading2"/>
      </w:pPr>
      <w:r>
        <w:t>2. Why is AI the appropriate approach compared with non-AI alternatives?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A defensible decision considers substitutes, process redesign and the option of doing nothing.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Alternative analysis, comparative advantages, constraints and conditions where AI is not preferred.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Shared after a serious enquiry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https://www.nature.com/articles/s41746-025-01767-z</w:t>
            </w:r>
          </w:p>
        </w:tc>
      </w:tr>
    </w:tbl>
    <w:p/>
    <w:p>
      <w:pPr>
        <w:pStyle w:val="Heading2"/>
      </w:pPr>
      <w:r>
        <w:t>3. What benefits, risks and opportunity costs are concentrated across the organisation?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Value and burden may fall on different teams, creating resistance even when the overall case looks positive.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Stakeholder value map, resource demands, risks, dependencies and distribution of accountability.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Shared after a serious enquiry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https://www.nist.gov/itl/ai-risk-management-framework</w:t>
            </w:r>
          </w:p>
        </w:tc>
      </w:tr>
    </w:tbl>
    <w:p/>
    <w:p>
      <w:pPr>
        <w:pStyle w:val="Heading2"/>
      </w:pPr>
      <w:r>
        <w:t>4. Who owns the outcome and which resources are committed?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Executive sponsorship is meaningful only when decision rights, resources and accountability are explicit.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Named sponsor, operating owner, budget, staffing and governance commitments.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Shared after a serious enquiry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https://www.nature.com/articles/s41746-025-01767-z</w:t>
            </w:r>
          </w:p>
        </w:tc>
      </w:tr>
    </w:tbl>
    <w:p/>
    <w:p>
      <w:pPr>
        <w:pStyle w:val="Heading2"/>
      </w:pPr>
      <w:r>
        <w:t>5. What evidence would justify advancing, pausing or rejecting the opportunity?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Predefined decision criteria reduce ambiguity and prevent momentum from replacing evaluation.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Decision criteria, required evidence, risk tolerance, stage gates and stop conditions.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Testing for the proposed use case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https://www.nature.com/articles/s41746-025-01767-z</w:t>
            </w:r>
          </w:p>
        </w:tc>
      </w:tr>
    </w:tbl>
    <w:p/>
    <w:p>
      <w:pPr>
        <w:pStyle w:val="Heading2"/>
      </w:pPr>
      <w:r>
        <w:t>6. What must leadership monitor after implementation?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Leadership still needs visibility into value, safety, adoption and material changes after go-live.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Executive dashboard, review cadence, thresholds, incident reporting and strategic reassessment.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Shared after a serious enquiry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https://www.nist.gov/itl/ai-risk-management-framework</w:t>
            </w:r>
          </w:p>
        </w:tc>
      </w:tr>
    </w:tbl>
    <w:p/>
    <w:p>
      <w:r>
        <w:br w:type="page"/>
      </w:r>
    </w:p>
    <w:p>
      <w:pPr>
        <w:pStyle w:val="Heading1"/>
      </w:pPr>
      <w:r>
        <w:t>Internal champion</w:t>
      </w:r>
    </w:p>
    <w:p>
      <w:pPr>
        <w:pStyle w:val="Heading2"/>
      </w:pPr>
      <w:r>
        <w:t>1. Which stakeholders must support the decision and what does each need to understand?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The champion cannot carry one generic case into a decision made by several functions.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Stakeholder map, decision task, evidence need, concern and approval role.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Visible publicly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https://www.fda.gov/medical-devices/software-medical-device-samd/transparency-machine-learning-enabled-medical-devices-guiding-principles</w:t>
            </w:r>
          </w:p>
        </w:tc>
      </w:tr>
    </w:tbl>
    <w:p/>
    <w:p>
      <w:pPr>
        <w:pStyle w:val="Heading2"/>
      </w:pPr>
      <w:r>
        <w:t>2. Which evidence can be shared publicly, after qualification, under NDA or through local testing?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A clear access path prevents the champion from repeatedly requesting or reconstructing information.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Evidence register with access level, owner, request route and freshness date.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Shared after a serious enquiry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https://www.fda.gov/medical-devices/software-medical-device-samd/transparency-machine-learning-enabled-medical-devices-guiding-principles</w:t>
            </w:r>
          </w:p>
        </w:tc>
      </w:tr>
    </w:tbl>
    <w:p/>
    <w:p>
      <w:pPr>
        <w:pStyle w:val="Heading2"/>
      </w:pPr>
      <w:r>
        <w:t>3. What do the strongest public claims establish and where are their boundaries?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A champion needs language that is persuasive without asking colleagues to accept more than the evidence supports.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Claim-to-evidence map, context, limitations, applicable setting and approved wording.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Visible publicly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https://www.fda.gov/medical-devices/software-medical-device-samd/transparency-machine-learning-enabled-medical-devices-guiding-principles</w:t>
            </w:r>
          </w:p>
        </w:tc>
      </w:tr>
    </w:tbl>
    <w:p/>
    <w:p>
      <w:pPr>
        <w:pStyle w:val="Heading2"/>
      </w:pPr>
      <w:r>
        <w:t>4. Which unanswered questions currently prevent the next step?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A useful case separates what is known from what must still be resolved.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Open-question register with owner, evidence required, decision affected and due stage.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Shared after a serious enquiry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https://www.gov.uk/data-ethics-guidance/a-buyers-guide-to-ai-in-health-and-care</w:t>
            </w:r>
          </w:p>
        </w:tc>
      </w:tr>
    </w:tbl>
    <w:p/>
    <w:p>
      <w:pPr>
        <w:pStyle w:val="Heading2"/>
      </w:pPr>
      <w:r>
        <w:t>5. Which cross-functional meetings are required and what decision must each produce?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Meetings become useful when participants, evidence inputs, questions, output and decision gate are defined.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Meeting designs covering participants, inputs, questions, required output and next decision.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Shared after a serious enquiry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https://www.nature.com/articles/s41746-025-01900-y</w:t>
            </w:r>
          </w:p>
        </w:tc>
      </w:tr>
    </w:tbl>
    <w:p/>
    <w:p>
      <w:pPr>
        <w:pStyle w:val="Heading2"/>
      </w:pPr>
      <w:r>
        <w:t>6. Can the case be circulated without rebuilding it manually?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it matters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A decision slows when the champion must translate scattered pages into a new narrative for every stakeholder.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useful evidence looks like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A concise decision pack with stakeholder routes, evidence boundaries, open questions and source register.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Likely access level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Visible publicly</w:t>
            </w:r>
          </w:p>
        </w:tc>
      </w:tr>
      <w:tr>
        <w:tc>
          <w:tcPr>
            <w:tcW w:type="dxa" w:w="2232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Reference</w:t>
            </w:r>
          </w:p>
        </w:tc>
        <w:tc>
          <w:tcPr>
            <w:tcW w:type="dxa" w:w="7920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10131A"/>
                <w:sz w:val="18"/>
              </w:rPr>
              <w:t>https://www.gov.uk/data-ethics-guidance/a-buyers-guide-to-ai-in-health-and-care</w:t>
            </w:r>
          </w:p>
        </w:tc>
      </w:tr>
    </w:tbl>
    <w:p/>
    <w:p>
      <w:pPr>
        <w:pStyle w:val="Heading1"/>
      </w:pPr>
      <w:r>
        <w:t>Source library</w:t>
      </w:r>
    </w:p>
    <w:p>
      <w:r>
        <w:t>These sources inform the question architecture. This toolkit does not replace clinical, legal, security, procurement, regulatory or organisation-specific review.</w:t>
      </w:r>
    </w:p>
    <w:p>
      <w:pPr>
        <w:pStyle w:val="ListBullet"/>
      </w:pPr>
      <w:r>
        <w:t xml:space="preserve">UK Government, A buyer's guide to AI in health and care: </w:t>
      </w:r>
      <w:hyperlink r:id="rId9">
        <w:r>
          <w:rPr>
            <w:color w:val="6272FF"/>
            <w:u w:val="single"/>
          </w:rPr>
          <w:t>https://www.gov.uk/data-ethics-guidance/a-buyers-guide-to-ai-in-health-and-care</w:t>
        </w:r>
      </w:hyperlink>
    </w:p>
    <w:p>
      <w:pPr>
        <w:pStyle w:val="ListBullet"/>
      </w:pPr>
      <w:r>
        <w:t xml:space="preserve">FDA, Transparency for Machine Learning-Enabled Medical Devices: Guiding Principles: </w:t>
      </w:r>
      <w:hyperlink r:id="rId10">
        <w:r>
          <w:rPr>
            <w:color w:val="6272FF"/>
            <w:u w:val="single"/>
          </w:rPr>
          <w:t>https://www.fda.gov/medical-devices/software-medical-device-samd/transparency-machine-learning-enabled-medical-devices-guiding-principles</w:t>
        </w:r>
      </w:hyperlink>
    </w:p>
    <w:p>
      <w:pPr>
        <w:pStyle w:val="ListBullet"/>
      </w:pPr>
      <w:r>
        <w:t xml:space="preserve">NIST, AI Risk Management Framework: </w:t>
      </w:r>
      <w:hyperlink r:id="rId11">
        <w:r>
          <w:rPr>
            <w:color w:val="6272FF"/>
            <w:u w:val="single"/>
          </w:rPr>
          <w:t>https://www.nist.gov/itl/ai-risk-management-framework</w:t>
        </w:r>
      </w:hyperlink>
    </w:p>
    <w:p>
      <w:pPr>
        <w:pStyle w:val="ListBullet"/>
      </w:pPr>
      <w:r>
        <w:t xml:space="preserve">WHO, Ethics and governance of artificial intelligence for health: </w:t>
      </w:r>
      <w:hyperlink r:id="rId12">
        <w:r>
          <w:rPr>
            <w:color w:val="6272FF"/>
            <w:u w:val="single"/>
          </w:rPr>
          <w:t>https://www.who.int/publications/i/item/9789240029200</w:t>
        </w:r>
      </w:hyperlink>
    </w:p>
    <w:p>
      <w:pPr>
        <w:pStyle w:val="ListBullet"/>
      </w:pPr>
      <w:r>
        <w:t xml:space="preserve">FAIR-AI, A practical framework for appropriate implementation and review of AI in healthcare: </w:t>
      </w:r>
      <w:hyperlink r:id="rId13">
        <w:r>
          <w:rPr>
            <w:color w:val="6272FF"/>
            <w:u w:val="single"/>
          </w:rPr>
          <w:t>https://www.nature.com/articles/s41746-025-01900-y</w:t>
        </w:r>
      </w:hyperlink>
    </w:p>
    <w:p>
      <w:pPr>
        <w:pStyle w:val="ListBullet"/>
      </w:pPr>
      <w:r>
        <w:t xml:space="preserve">Early pipeline framework for assessing vendor AI solutions to support return on investment: </w:t>
      </w:r>
      <w:hyperlink r:id="rId14">
        <w:r>
          <w:rPr>
            <w:color w:val="6272FF"/>
            <w:u w:val="single"/>
          </w:rPr>
          <w:t>https://www.nature.com/articles/s41746-025-01767-z</w:t>
        </w:r>
      </w:hyperlink>
    </w:p>
    <w:p>
      <w:pPr>
        <w:pStyle w:val="ListBullet"/>
      </w:pPr>
      <w:r>
        <w:t xml:space="preserve">DECIDE-AI reporting guideline: </w:t>
      </w:r>
      <w:hyperlink r:id="rId15">
        <w:r>
          <w:rPr>
            <w:color w:val="6272FF"/>
            <w:u w:val="single"/>
          </w:rPr>
          <w:t>https://www.bmj.com/content/377/bmj-2022-070904</w:t>
        </w:r>
      </w:hyperlink>
    </w:p>
    <w:p>
      <w:pPr>
        <w:pStyle w:val="ListBullet"/>
      </w:pPr>
      <w:r>
        <w:t xml:space="preserve">ONC HTI-1 Final Rule: </w:t>
      </w:r>
      <w:hyperlink r:id="rId16">
        <w:r>
          <w:rPr>
            <w:color w:val="6272FF"/>
            <w:u w:val="single"/>
          </w:rPr>
          <w:t>https://healthit.gov/regulations/hti-rules/hti-1-final-rule/</w:t>
        </w:r>
      </w:hyperlink>
    </w:p>
    <w:p>
      <w:pPr>
        <w:pStyle w:val="ListBullet"/>
      </w:pPr>
      <w:r>
        <w:t xml:space="preserve">HHS Healthcare and Public Health Cybersecurity Performance Goals: </w:t>
      </w:r>
      <w:hyperlink r:id="rId17">
        <w:r>
          <w:rPr>
            <w:color w:val="6272FF"/>
            <w:u w:val="single"/>
          </w:rPr>
          <w:t>https://hhscyber.hhs.gov/cybersecurity-performance-goals.html</w:t>
        </w:r>
      </w:hyperlink>
    </w:p>
    <w:p>
      <w:pPr>
        <w:pStyle w:val="ListBullet"/>
      </w:pPr>
      <w:r>
        <w:t xml:space="preserve">FDA, Cybersecurity in Medical Devices: Quality System Considerations and Content of Premarket Submissions: </w:t>
      </w:r>
      <w:hyperlink r:id="rId18">
        <w:r>
          <w:rPr>
            <w:color w:val="6272FF"/>
            <w:u w:val="single"/>
          </w:rPr>
          <w:t>https://www.fda.gov/regulatory-information/search-fda-guidance-documents/cybersecurity-medical-devices-quality-system-considerations-and-content-premarket-submissions</w:t>
        </w:r>
      </w:hyperlink>
    </w:p>
    <w:p>
      <w:pPr>
        <w:pStyle w:val="ListBullet"/>
      </w:pPr>
      <w:r>
        <w:t xml:space="preserve">LinkedIn and Bain, The Principles of Buyability: </w:t>
      </w:r>
      <w:hyperlink r:id="rId19">
        <w:r>
          <w:rPr>
            <w:color w:val="6272FF"/>
            <w:u w:val="single"/>
          </w:rPr>
          <w:t>https://www.linkedin.com/business/marketing/blog/research-and-insights/the-principles-of-buyability-why-strong-deals-stall-and-what-separates-the-vendors-who-get-chosen</w:t>
        </w:r>
      </w:hyperlink>
    </w:p>
    <w:p>
      <w:pPr>
        <w:pStyle w:val="ListBullet"/>
      </w:pPr>
      <w:r>
        <w:t xml:space="preserve">Forrester, 2026 State of Business Buying: </w:t>
      </w:r>
      <w:hyperlink r:id="rId20">
        <w:r>
          <w:rPr>
            <w:color w:val="6272FF"/>
            <w:u w:val="single"/>
          </w:rPr>
          <w:t>https://www.forrester.com/press-newsroom/forrester-2026-the-state-of-business-buying/</w:t>
        </w:r>
      </w:hyperlink>
    </w:p>
    <w:sectPr w:rsidR="00FC693F" w:rsidRPr="0006063C" w:rsidSect="00034616">
      <w:footerReference w:type="default" r:id="rId21"/>
      <w:pgSz w:w="11909" w:h="16834"/>
      <w:pgMar w:top="893" w:right="1008" w:bottom="893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4D535D"/>
        <w:sz w:val="16"/>
      </w:rPr>
      <w:t>Archoric  |  archoric.com  |  Public educational resource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10131A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A0D13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27A5A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10152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A0D13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abel">
    <w:name w:val="Label"/>
    <w:rPr>
      <w:rFonts w:ascii="Aptos" w:hAnsi="Aptos"/>
      <w:b/>
      <w:color w:val="127A5A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gov.uk/data-ethics-guidance/a-buyers-guide-to-ai-in-health-and-care" TargetMode="External"/><Relationship Id="rId10" Type="http://schemas.openxmlformats.org/officeDocument/2006/relationships/hyperlink" Target="https://www.fda.gov/medical-devices/software-medical-device-samd/transparency-machine-learning-enabled-medical-devices-guiding-principles" TargetMode="External"/><Relationship Id="rId11" Type="http://schemas.openxmlformats.org/officeDocument/2006/relationships/hyperlink" Target="https://www.nist.gov/itl/ai-risk-management-framework" TargetMode="External"/><Relationship Id="rId12" Type="http://schemas.openxmlformats.org/officeDocument/2006/relationships/hyperlink" Target="https://www.who.int/publications/i/item/9789240029200" TargetMode="External"/><Relationship Id="rId13" Type="http://schemas.openxmlformats.org/officeDocument/2006/relationships/hyperlink" Target="https://www.nature.com/articles/s41746-025-01900-y" TargetMode="External"/><Relationship Id="rId14" Type="http://schemas.openxmlformats.org/officeDocument/2006/relationships/hyperlink" Target="https://www.nature.com/articles/s41746-025-01767-z" TargetMode="External"/><Relationship Id="rId15" Type="http://schemas.openxmlformats.org/officeDocument/2006/relationships/hyperlink" Target="https://www.bmj.com/content/377/bmj-2022-070904" TargetMode="External"/><Relationship Id="rId16" Type="http://schemas.openxmlformats.org/officeDocument/2006/relationships/hyperlink" Target="https://healthit.gov/regulations/hti-rules/hti-1-final-rule/" TargetMode="External"/><Relationship Id="rId17" Type="http://schemas.openxmlformats.org/officeDocument/2006/relationships/hyperlink" Target="https://hhscyber.hhs.gov/cybersecurity-performance-goals.html" TargetMode="External"/><Relationship Id="rId18" Type="http://schemas.openxmlformats.org/officeDocument/2006/relationships/hyperlink" Target="https://www.fda.gov/regulatory-information/search-fda-guidance-documents/cybersecurity-medical-devices-quality-system-considerations-and-content-premarket-submissions" TargetMode="External"/><Relationship Id="rId19" Type="http://schemas.openxmlformats.org/officeDocument/2006/relationships/hyperlink" Target="https://www.linkedin.com/business/marketing/blog/research-and-insights/the-principles-of-buyability-why-strong-deals-stall-and-what-separates-the-vendors-who-get-chosen" TargetMode="External"/><Relationship Id="rId20" Type="http://schemas.openxmlformats.org/officeDocument/2006/relationships/hyperlink" Target="https://www.forrester.com/press-newsroom/forrester-2026-the-state-of-business-buying/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